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HD-E808-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盐雾试验机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12065</wp:posOffset>
            </wp:positionV>
            <wp:extent cx="2848610" cy="2039620"/>
            <wp:effectExtent l="0" t="0" r="8890" b="17780"/>
            <wp:wrapTight wrapText="bothSides">
              <wp:wrapPolygon>
                <wp:start x="0" y="0"/>
                <wp:lineTo x="0" y="21385"/>
                <wp:lineTo x="21523" y="21385"/>
                <wp:lineTo x="21523" y="0"/>
                <wp:lineTo x="0" y="0"/>
              </wp:wrapPolygon>
            </wp:wrapTight>
            <wp:docPr id="11" name="图片 11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  <w:t>HD-E808适用于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采用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instrText xml:space="preserve"> HYPERLINK "http://baike.haosou.com/doc/2194710-2322198.html" </w:instrTex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separate"/>
      </w:r>
      <w:r>
        <w:rPr>
          <w:rStyle w:val="22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盐雾腐蚀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的方式来检测被测样品的分别耐腐蚀的可靠性，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instrText xml:space="preserve"> HYPERLINK "http://baike.haosou.com/doc/1307903-1382827.html" </w:instrTex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separate"/>
      </w:r>
      <w:r>
        <w:rPr>
          <w:rStyle w:val="22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盐雾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是指大气中由含盐微小液滴所构成的弥散系统，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是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人工气候环境“三防”（湿热、盐雾、霉菌）试验设备之一，是研究机械、国防工业、轻工电子、仪表等行业各种环境适应性和可靠性的一种重要试验设备。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盐雾试验分为中性盐雾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和酸性盐雾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两种，其区别在于符合的标准与试验方法不同，分别称"NSS"和"CASS"试验，是人工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instrText xml:space="preserve"> HYPERLINK "http://baike.haosou.com/doc/6599197-6812981.html" </w:instrTex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separate"/>
      </w:r>
      <w:r>
        <w:rPr>
          <w:rStyle w:val="22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三防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气候中最常见的一种测试方法。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 w:bidi="ar"/>
        </w:rPr>
        <w:t>测试目的：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bidi="ar"/>
        </w:rPr>
        <w:t>针对各种材质之表面处理，包含涂料、电镀、无机及有机皮膜，阴极处理防锈油等防蚀处理后，测试其制品之耐蚀性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从而确立产品的质量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 w:bidi="ar"/>
        </w:rPr>
        <w:t>产品特点：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进口灰白P.V.C板制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，特殊处理耐腐蚀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。塑钢V形架与不锈钢管角置物，确保试物成30度斜角，四轮滑行，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移动方便。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做工精细，外形美观，透明度高，气动开盖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采用自动/手动加水系统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，具有水位不足时自动/手动补水功能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。实验不中断，满足客人多元化环境要求。(自动补水只需接入自来水管即可)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喷嘴：喷雾塔附锥形分散器，具有导向雾气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、调节节雾量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、及均匀落雾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采用高精度多功能计时器，试验时间可设定多功能化.带停电记忆功能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，来电后照停电前时间继续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工作，直至产品完成要求时间，避免停电后实验重做。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盐雾实验时采用蒸汽直接加温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方式，升温速度快，温度分布均匀,减短待机时间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两键式全自动操作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。带全侦测故障预警系统。故障发生时可亮灯显示并蜂鸣报警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采用内置式雾量收集筒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两个。比传统的外置式相比更不易碰坏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附超载短路保护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。防止出现异常时损坏仪表及仪器内部电控配件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内外箱体连接密封槽,采用水密封.防止盐雾外泄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进口温度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控制器使用数字显示，PID控制，误差±0.1℃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  <w:t>符合标准：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  <w:t>[国家标准]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GB/T2423.17-2008/IEC 60068-2-11-1981 盐雾试验方法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  <w:t>[美国标准]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 xml:space="preserve">ASTM.B117-2009            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盐雾试验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  <w:t>[日本工业标准]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 xml:space="preserve">JIS H8502                 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bidi="ar"/>
        </w:rPr>
        <w:t>盐水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>喷雾试验方法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>[国家标准]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 xml:space="preserve">GB/T10125-2012/ISO 9227-2006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>盐水喷雾试验方法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>[国家标准]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 xml:space="preserve">GB-T5170.8-2008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>电工电子产品环境试验设备检验方法-盐雾试验设备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>[国家标准]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 xml:space="preserve">GB-T5170.11-2008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>腐蚀性气体试验设备检验方法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>[国家军用标准]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 xml:space="preserve">GJB150.11A-2009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>军用装备实验室环境试验方法盐雾试验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>[国家标准]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 xml:space="preserve">GB-T10587-2006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bidi="ar"/>
        </w:rPr>
        <w:t>盐雾试验箱技术条件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 w:bidi="ar"/>
        </w:rPr>
        <w:t>产品主要参数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 w:bidi="ar"/>
        </w:rPr>
        <w:t>: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型号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E46C0A" w:themeColor="accent6" w:themeShade="BF"/>
                <w:sz w:val="21"/>
                <w:szCs w:val="21"/>
                <w:lang w:bidi="ar"/>
              </w:rPr>
              <w:t>HD-E808-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E46C0A" w:themeColor="accent6" w:themeShade="BF"/>
                <w:sz w:val="21"/>
                <w:szCs w:val="21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标称内容积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E46C0A" w:themeColor="accent6" w:themeShade="BF"/>
                <w:sz w:val="21"/>
                <w:szCs w:val="21"/>
                <w:highlight w:val="none"/>
                <w:lang w:val="en-US" w:eastAsia="zh-CN"/>
              </w:rPr>
              <w:t>600L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内箱有效尺寸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highlight w:val="none"/>
                <w:lang w:bidi="ar"/>
              </w:rPr>
              <w:t xml:space="preserve">(L×W×H)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E46C0A" w:themeColor="accent6" w:themeShade="BF"/>
                <w:sz w:val="21"/>
                <w:szCs w:val="21"/>
                <w:highlight w:val="none"/>
                <w:lang w:val="en-US" w:eastAsia="zh-CN" w:bidi="ar"/>
              </w:rPr>
              <w:t xml:space="preserve">1200x500x1000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mm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（多款尺寸满足客户需求）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外形空间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highlight w:val="none"/>
                <w:lang w:bidi="ar"/>
              </w:rPr>
              <w:t>(L×W×H)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E46C0A" w:themeColor="accent6" w:themeShade="BF"/>
                <w:sz w:val="21"/>
                <w:szCs w:val="21"/>
                <w:highlight w:val="none"/>
                <w:lang w:bidi="ar"/>
              </w:rPr>
              <w:t xml:space="preserve"> 1900x1400x1300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mm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（多款尺寸满足客户需求）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盐水箱容量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E46C0A" w:themeColor="accent6" w:themeShade="BF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最大电流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供电条件和电源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AC 220V 单相二线+保护接地；电压允许波动范围±10%V；频率允许波动范围50±0.5ＨZ；TN-S方式供电或TT方式供电；保护地线接地电阻小于4Ω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要求用户在安装现场为设备配置相应容量的空气或动力开关，并且此开关必须独立控制本设备使用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环境温度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环境温度为5～30℃、相对湿度≤85%R.H；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升温速率</w:t>
            </w:r>
          </w:p>
        </w:tc>
        <w:tc>
          <w:tcPr>
            <w:tcW w:w="8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试验室温度：RT→+35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 xml:space="preserve">℃≤40 min 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压力桶温度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RT→+50℃≤40 min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相对湿度： ≥85%R.H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 w:bidi="ar"/>
        </w:rPr>
        <w:t>温度与喷雾：</w:t>
      </w:r>
    </w:p>
    <w:tbl>
      <w:tblPr>
        <w:tblStyle w:val="17"/>
        <w:tblpPr w:leftFromText="180" w:rightFromText="180" w:vertAnchor="text" w:horzAnchor="page" w:tblpXSpec="center" w:tblpY="183"/>
        <w:tblOverlap w:val="never"/>
        <w:tblW w:w="10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86"/>
        <w:gridCol w:w="2186"/>
        <w:gridCol w:w="621"/>
        <w:gridCol w:w="2001"/>
        <w:gridCol w:w="742"/>
        <w:gridCol w:w="1487"/>
        <w:gridCol w:w="86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  <w:t>温度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温度分辨率</w:t>
            </w: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 xml:space="preserve">0. 1℃ </w:t>
            </w:r>
          </w:p>
        </w:tc>
        <w:tc>
          <w:tcPr>
            <w:tcW w:w="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  <w:t>温度偏差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±1℃</w:t>
            </w:r>
          </w:p>
        </w:tc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  <w:t>温度均匀度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1℃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  <w:t>温度波动度</w:t>
            </w:r>
          </w:p>
        </w:tc>
        <w:tc>
          <w:tcPr>
            <w:tcW w:w="1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  <w:t>喷雾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喷雾量</w:t>
            </w: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（m1/80cm2/h）1.0～2.0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 w:bidi="ar"/>
              </w:rPr>
              <w:t>（至少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16小时，取平均值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喷雾压力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1.00±0.01kgf/cm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药水PH值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中性6.0～7.0    酸性3.0～3.1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喷雾溶液PH值</w:t>
            </w:r>
          </w:p>
        </w:tc>
        <w:tc>
          <w:tcPr>
            <w:tcW w:w="1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中性6.5～7.2  酸性3.1～3.3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注：喷雾时溶液中二氧化碳的损失可能引起pH 值的变化，可以通过下列方法，例如将溶液加热到35℃以上才放入试验设备中，或者使用新鲜的沸水配制溶液来降低溶液中二氧化碳的含量，可避免pH 值的变化，酸性试验或铜加速盐雾试验为保证喷雾溶液PH值，可调节配置药水PH值到2.8～3.0并检查溶液和/或溶质是否达到要求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 w:bidi="ar"/>
        </w:rPr>
        <w:t>结构与特征：</w:t>
      </w:r>
    </w:p>
    <w:tbl>
      <w:tblPr>
        <w:tblStyle w:val="16"/>
        <w:tblpPr w:leftFromText="180" w:rightFromText="180" w:vertAnchor="text" w:horzAnchor="page" w:tblpX="824" w:tblpY="42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箱体结构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试验室采用进口PVC聚乙稀板(台湾南亚)，厚度5mm，耐用温度在85℃；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试验室密封盖采用进口欧洲压克力板，厚度5mm；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试药补充瓶采用隐藏式附水位表，清洗容易，不易破裂；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压力空气桶采用SUS304#不锈钢耐高压桶保温效果最佳；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试验物料架采用平面分度架，可任意调整角度四面落雾及受雾，放置试样较多；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密封盖采用手推动方式；试验室密封采用水密封方式，保证箱内腐蚀气体不泄露；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控制箱与试验箱为一体式，左右结构操作方便；采用水电分离结构，有效防止水进入电器控制箱损坏配件；整机为桌上型结构，外形美观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箱盖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试验室密封盖采用进口欧洲压克力板，厚度5mm，制作成顶部为100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superscript"/>
                <w:lang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角密封盖，有效防止试验中冷凝水滴到样品表面影响试验结果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控制面板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试缺水指示灯、超温指示灯、结束指示灯、喷雾指示灯、除雾指示灯试验室温度控制器、压力桶温度控制器、计时器、积时器、压力表总电源开关、操作开关、计时开关、喷雾开关、除雾开关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配电控制柜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加水电磁阀、喷雾电磁阀、除雾电磁阀、配电板、散热风机超温保护器、空气饱和压力桶、喷雾调节阀、单相阀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加热系统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采用水蒸气加热方式，钛合金加热管 P.I.D控制加热从而达到温度平衡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补水系统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试验室及压力桶补水：手动、自动两种补水控制系统，可连接自来水管自动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 xml:space="preserve">   控制补水或手动加水双重补水方式，使用方便；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315" w:firstLineChars="15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注：如自来水杂质过多或带酸碱性需在入水口加装过滤器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药水补水：采用内隐藏式大水箱，手动补水方式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排水系统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排水阀门控制装置，手动排水方式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喷雾系统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采用伯努特原理吸取盐水而后雾化，雾化程度均匀；绝无阻塞结晶之现象可确保连续测试之标准；采用特殊玻璃制成喷嘴；可调锥度喷雾塔，可有效分散喷雾保证喷雾均匀及控制喷雾量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喷雾方式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连续式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空气供应系统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喷雾压力为1kg/cm2分两段式调整，第一次将压缩空气调整为2kg/cm2进入饱和桶内进行加热，第二次调整为1kg/cm2喷雾压力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排雾系统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全自动压力平衡排雾装置，只需连接排雾管，根据箱内压力自动排雾；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手动除雾按钮开关，打开试验箱盖前只需点击此按钮，可快速将室内雾气去除注：机台排雾管道需延伸到室外空旷的地方，并且需要避免靠近易腐蚀物品避免机台排出雾气腐蚀其他物品；排雾延伸管道不能有波浪状打折的地方，避免排雾管道内冷凝水堵住排雾管，不能有效排出废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电气控制系统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105" w:firstLineChars="5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试验控制器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进口液晶显示温度控制器,控制试验室温度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饱和桶控制器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进口液晶显示温度控制器,控制压力桶温度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温度输入模式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按键式输入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10" w:firstLineChars="1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温度显示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可显示温度设定值，温度实际值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315" w:firstLineChars="15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计时器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数字显示计时器，单位：秒、分、十分、小时、十小时可切换，最大计时9999小时，最小计时1秒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计时设定方式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按键输入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10" w:firstLineChars="1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运行方式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连续运行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105" w:firstLineChars="5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总工作时间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一次性累积时器可监控机台总工作时间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温度设定范围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最大温度范围上下限5℃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10" w:firstLineChars="1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面板显示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设定温度值、当前温度值、设定时间、当前时间、机台总工作时间、超温异常指示灯缺水异常指示灯、运转结束指示灯、喷雾状态指示灯、除雾状态指示灯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105" w:firstLineChars="5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温度测量体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PT100型铂电阻/K型热电偶（默认安装K型热电偶）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温度控制方式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抗积分饱和PID，BTC平衡调温控制方式(温度试验设备)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安全保护装置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试验箱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极限超温保护，缺水保护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饱和桶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极限超温保护，缺水保护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加热系统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加热管干烧、供水异常、排水异常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电源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漏电保护，超载及短路保护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储存环境要求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设备环境温度应保持0℃～+45℃以内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安装场地要求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试验箱左右及后侧壁板距离墙壁不得小于600mm，正面距离墙壁距不得小于800mm设备运输时，进入门口或通道、电梯等,是否能进入，以免影响贵司工程进度。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 w:bidi="ar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eastAsia="zh-CN" w:bidi="ar"/>
        </w:rPr>
        <w:t>设备清单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 w:bidi="ar"/>
        </w:rPr>
        <w:t>:</w:t>
      </w:r>
    </w:p>
    <w:tbl>
      <w:tblPr>
        <w:tblStyle w:val="16"/>
        <w:tblpPr w:leftFromText="180" w:rightFromText="180" w:vertAnchor="text" w:horzAnchor="page" w:tblpX="819" w:tblpY="525"/>
        <w:tblOverlap w:val="never"/>
        <w:tblW w:w="107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4206"/>
        <w:gridCol w:w="5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品名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bidi="ar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试验室温度控制器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压力桶温度控制器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3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试验箱体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4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试验箱密封盖子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5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排风扇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6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限温器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7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加热管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自制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8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喷嘴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9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固态继电器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10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加水电磁阀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11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喷雾电磁阀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12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除雾电磁阀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13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交流接触器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14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定时器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15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中间继电器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16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带灯自锁开关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17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温度传感器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18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盐水过滤器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19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保险管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20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液位开关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21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压力桶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自制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22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压力表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23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调压阀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24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指示灯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25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排雾装置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26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空气过滤器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27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单相阀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28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积时器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29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收集器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30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计量杯</w:t>
            </w:r>
          </w:p>
        </w:tc>
        <w:tc>
          <w:tcPr>
            <w:tcW w:w="5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河北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bidi="ar"/>
        </w:rPr>
        <w:t>产品组件图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 w:bidi="ar"/>
        </w:rPr>
        <w:t>：</w:t>
      </w:r>
    </w:p>
    <w:tbl>
      <w:tblPr>
        <w:tblStyle w:val="16"/>
        <w:tblW w:w="10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1"/>
        <w:gridCol w:w="5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控制面板</w:t>
            </w:r>
          </w:p>
        </w:tc>
        <w:tc>
          <w:tcPr>
            <w:tcW w:w="5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盐雾收集漏斗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drawing>
                <wp:inline distT="0" distB="0" distL="114300" distR="114300">
                  <wp:extent cx="2006600" cy="2016125"/>
                  <wp:effectExtent l="0" t="0" r="12700" b="3175"/>
                  <wp:docPr id="6" name="图片 4" descr="wpsC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wpsCC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drawing>
                <wp:inline distT="0" distB="0" distL="114300" distR="114300">
                  <wp:extent cx="2371725" cy="2072005"/>
                  <wp:effectExtent l="0" t="0" r="9525" b="4445"/>
                  <wp:docPr id="7" name="图片 5" descr="wpsC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wpsCC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0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样品架</w:t>
            </w:r>
          </w:p>
        </w:tc>
        <w:tc>
          <w:tcPr>
            <w:tcW w:w="5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盐雾喷嘴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drawing>
                <wp:inline distT="0" distB="0" distL="114300" distR="114300">
                  <wp:extent cx="2865120" cy="1943735"/>
                  <wp:effectExtent l="0" t="0" r="11430" b="18415"/>
                  <wp:docPr id="9" name="图片 6" descr="wpsC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wpsCC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ind w:firstLine="120" w:firstLineChars="50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drawing>
                <wp:inline distT="0" distB="0" distL="114300" distR="114300">
                  <wp:extent cx="2656840" cy="1929130"/>
                  <wp:effectExtent l="0" t="0" r="10160" b="13970"/>
                  <wp:docPr id="5" name="图片 7" descr="wpsC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wpsCC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透明观察标本</w:t>
            </w:r>
          </w:p>
        </w:tc>
        <w:tc>
          <w:tcPr>
            <w:tcW w:w="5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氯化钠(盐测试)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drawing>
                <wp:inline distT="0" distB="0" distL="114300" distR="114300">
                  <wp:extent cx="2614930" cy="1739900"/>
                  <wp:effectExtent l="0" t="0" r="13970" b="12700"/>
                  <wp:docPr id="8" name="图片 8" descr="wpsC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psCC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color w:val="31313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4"/>
                <w:szCs w:val="24"/>
              </w:rPr>
              <w:drawing>
                <wp:inline distT="0" distB="0" distL="114300" distR="114300">
                  <wp:extent cx="1962150" cy="1567815"/>
                  <wp:effectExtent l="0" t="0" r="0" b="13335"/>
                  <wp:docPr id="10" name="图片 9" descr="wpsC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wpsCC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overflowPunct w:val="0"/>
              <w:jc w:val="center"/>
              <w:rPr>
                <w:rFonts w:hint="eastAsia" w:ascii="微软雅黑" w:hAnsi="微软雅黑" w:eastAsia="微软雅黑" w:cs="微软雅黑"/>
                <w:color w:val="313131"/>
                <w:sz w:val="24"/>
                <w:szCs w:val="24"/>
              </w:rPr>
            </w:pPr>
          </w:p>
          <w:p>
            <w:pPr>
              <w:widowControl/>
              <w:overflowPunct w:val="0"/>
              <w:rPr>
                <w:rFonts w:hint="eastAsia" w:ascii="微软雅黑" w:hAnsi="微软雅黑" w:eastAsia="微软雅黑" w:cs="微软雅黑"/>
                <w:color w:val="313131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 w:bidi="ar"/>
        </w:rPr>
        <w:t>产品应用领域：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385445</wp:posOffset>
            </wp:positionV>
            <wp:extent cx="1714500" cy="1714500"/>
            <wp:effectExtent l="0" t="0" r="0" b="0"/>
            <wp:wrapTight wrapText="bothSides">
              <wp:wrapPolygon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385445</wp:posOffset>
            </wp:positionV>
            <wp:extent cx="1714500" cy="1714500"/>
            <wp:effectExtent l="0" t="0" r="0" b="0"/>
            <wp:wrapTight wrapText="bothSides">
              <wp:wrapPolygon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  <w:t>涂料和油漆装饰层、金属零部件和电镀层、航空和军工部件、电力和电子系统等。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 w:bidi="ar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 w:bidi="ar"/>
        </w:rPr>
        <w:t>基础应用举例：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  <w:t>在</w:t>
      </w:r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  <w:lang w:eastAsia="zh-CN"/>
        </w:rPr>
        <w:t>盐雾试验机</w:t>
      </w:r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  <w:t>容积空间内用人工的方法，造成盐雾环境来对产品的耐盐雾腐蚀性能质量进行考核。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  <w:t>与天然环境相比，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  <w:t>其盐雾环境的氯化物的盐浓度，可以是一般天然环境盐雾含量的几倍或几十倍。如</w:t>
      </w:r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  <w:lang w:eastAsia="zh-CN"/>
        </w:rPr>
        <w:t>右图</w:t>
      </w:r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  <w:t>在天然暴露环境下对某产品样品进行试验，待其腐蚀可能要1年，而在人工模拟盐雾环境条件下试验，只要24小时，即可得到相似的结果。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 w:cs="微软雅黑"/>
          <w:i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 w:cs="微软雅黑"/>
          <w:i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olor w:val="auto"/>
          <w:sz w:val="24"/>
          <w:szCs w:val="24"/>
          <w:lang w:eastAsia="zh-CN"/>
        </w:rPr>
        <w:t>产品配置：</w:t>
      </w:r>
    </w:p>
    <w:tbl>
      <w:tblPr>
        <w:tblStyle w:val="16"/>
        <w:tblpPr w:leftFromText="180" w:rightFromText="180" w:vertAnchor="text" w:horzAnchor="page" w:tblpX="712" w:tblpY="80"/>
        <w:tblOverlap w:val="never"/>
        <w:tblW w:w="10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标准配置</w:t>
            </w:r>
          </w:p>
        </w:tc>
        <w:tc>
          <w:tcPr>
            <w:tcW w:w="8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合格证一张、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操作光盘一份、电源线一根、操作说明书一份、数据线一条、夹具一套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选购</w:t>
            </w:r>
          </w:p>
        </w:tc>
        <w:tc>
          <w:tcPr>
            <w:tcW w:w="8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无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spacing w:line="375" w:lineRule="atLeast"/>
        <w:ind w:left="-452" w:right="-45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720" w:right="720" w:bottom="720" w:left="720" w:header="17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double" w:color="auto" w:sz="8" w:space="1"/>
      </w:pBdr>
      <w:jc w:val="center"/>
    </w:pPr>
    <w:r>
      <w:rPr>
        <w:rFonts w:hint="eastAsia"/>
        <w:lang w:val="en-US" w:eastAsia="zh-CN"/>
      </w:rPr>
      <w:t xml:space="preserve">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5939790" cy="775335"/>
          <wp:effectExtent l="0" t="0" r="3810" b="5715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5570F7"/>
    <w:multiLevelType w:val="singleLevel"/>
    <w:tmpl w:val="AC5570F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20C1150"/>
    <w:multiLevelType w:val="singleLevel"/>
    <w:tmpl w:val="E20C11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84A64BE"/>
    <w:multiLevelType w:val="multilevel"/>
    <w:tmpl w:val="584A64BE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84A64EA"/>
    <w:multiLevelType w:val="multilevel"/>
    <w:tmpl w:val="584A64EA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3292E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2323FB4"/>
    <w:rsid w:val="028D6AF0"/>
    <w:rsid w:val="02E96E08"/>
    <w:rsid w:val="036723AF"/>
    <w:rsid w:val="03F345AF"/>
    <w:rsid w:val="04540DE7"/>
    <w:rsid w:val="072871B9"/>
    <w:rsid w:val="09764960"/>
    <w:rsid w:val="0FAC7498"/>
    <w:rsid w:val="112A520B"/>
    <w:rsid w:val="11F44DF9"/>
    <w:rsid w:val="11F557BA"/>
    <w:rsid w:val="12076698"/>
    <w:rsid w:val="16047741"/>
    <w:rsid w:val="16371A4D"/>
    <w:rsid w:val="166817D3"/>
    <w:rsid w:val="18BE5620"/>
    <w:rsid w:val="19DA76E2"/>
    <w:rsid w:val="1B847108"/>
    <w:rsid w:val="1B952F6F"/>
    <w:rsid w:val="1BD84DE4"/>
    <w:rsid w:val="1C6832AC"/>
    <w:rsid w:val="1DBD327E"/>
    <w:rsid w:val="1FE65C3E"/>
    <w:rsid w:val="258C2B52"/>
    <w:rsid w:val="26C22CF2"/>
    <w:rsid w:val="29982894"/>
    <w:rsid w:val="2AB9470E"/>
    <w:rsid w:val="2B514735"/>
    <w:rsid w:val="2CAF1CAB"/>
    <w:rsid w:val="2E625A8E"/>
    <w:rsid w:val="2ECD57F5"/>
    <w:rsid w:val="2F9037FD"/>
    <w:rsid w:val="32F10B4B"/>
    <w:rsid w:val="359968EB"/>
    <w:rsid w:val="37103056"/>
    <w:rsid w:val="38A93982"/>
    <w:rsid w:val="39645D22"/>
    <w:rsid w:val="3BAE412D"/>
    <w:rsid w:val="3C331421"/>
    <w:rsid w:val="3C8F6FF1"/>
    <w:rsid w:val="3D501E32"/>
    <w:rsid w:val="3F7B5F04"/>
    <w:rsid w:val="40325558"/>
    <w:rsid w:val="413F7338"/>
    <w:rsid w:val="437C2EFD"/>
    <w:rsid w:val="445241FA"/>
    <w:rsid w:val="44CB1CFC"/>
    <w:rsid w:val="45E61EE4"/>
    <w:rsid w:val="45F32402"/>
    <w:rsid w:val="4A77166A"/>
    <w:rsid w:val="4ADF2C1E"/>
    <w:rsid w:val="4BE03914"/>
    <w:rsid w:val="4BE34B24"/>
    <w:rsid w:val="4C651DF0"/>
    <w:rsid w:val="4D514053"/>
    <w:rsid w:val="4E8D2224"/>
    <w:rsid w:val="4FDE49E4"/>
    <w:rsid w:val="4FE1099D"/>
    <w:rsid w:val="50A80399"/>
    <w:rsid w:val="512F11CE"/>
    <w:rsid w:val="52537331"/>
    <w:rsid w:val="529B0E0C"/>
    <w:rsid w:val="531D2E5A"/>
    <w:rsid w:val="534F67B1"/>
    <w:rsid w:val="53D03C7C"/>
    <w:rsid w:val="5534656E"/>
    <w:rsid w:val="56921303"/>
    <w:rsid w:val="56C30955"/>
    <w:rsid w:val="59B7559A"/>
    <w:rsid w:val="5A26784A"/>
    <w:rsid w:val="5D926A5B"/>
    <w:rsid w:val="5D9953C8"/>
    <w:rsid w:val="5DD70DFD"/>
    <w:rsid w:val="5EB43A1F"/>
    <w:rsid w:val="5F7D713A"/>
    <w:rsid w:val="60B26C56"/>
    <w:rsid w:val="62804515"/>
    <w:rsid w:val="65144732"/>
    <w:rsid w:val="65A11766"/>
    <w:rsid w:val="66334727"/>
    <w:rsid w:val="67D073A1"/>
    <w:rsid w:val="68BD23A8"/>
    <w:rsid w:val="694A56D5"/>
    <w:rsid w:val="69D73EF5"/>
    <w:rsid w:val="6B13556E"/>
    <w:rsid w:val="6C8D7E4F"/>
    <w:rsid w:val="6D6D0B8F"/>
    <w:rsid w:val="6F876F3B"/>
    <w:rsid w:val="708744A7"/>
    <w:rsid w:val="71626E51"/>
    <w:rsid w:val="71794AA3"/>
    <w:rsid w:val="718A32AB"/>
    <w:rsid w:val="72355DE5"/>
    <w:rsid w:val="72877562"/>
    <w:rsid w:val="72880A08"/>
    <w:rsid w:val="7537621C"/>
    <w:rsid w:val="77886BFF"/>
    <w:rsid w:val="780B76B9"/>
    <w:rsid w:val="785F1955"/>
    <w:rsid w:val="7A8116A1"/>
    <w:rsid w:val="7E0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jc w:val="center"/>
      <w:outlineLvl w:val="2"/>
    </w:pPr>
    <w:rPr>
      <w:sz w:val="30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toc 3"/>
    <w:basedOn w:val="1"/>
    <w:next w:val="1"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paragraph" w:styleId="11">
    <w:name w:val="List"/>
    <w:basedOn w:val="1"/>
    <w:qFormat/>
    <w:uiPriority w:val="0"/>
    <w:pPr>
      <w:ind w:left="420" w:hanging="420"/>
    </w:pPr>
  </w:style>
  <w:style w:type="paragraph" w:styleId="12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"/>
    <w:basedOn w:val="5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semiHidden/>
    <w:unhideWhenUsed/>
    <w:qFormat/>
    <w:uiPriority w:val="99"/>
    <w:rPr>
      <w:color w:val="333333"/>
      <w:u w:val="none"/>
    </w:rPr>
  </w:style>
  <w:style w:type="character" w:styleId="21">
    <w:name w:val="HTML Definition"/>
    <w:basedOn w:val="18"/>
    <w:semiHidden/>
    <w:unhideWhenUsed/>
    <w:qFormat/>
    <w:uiPriority w:val="99"/>
    <w:rPr>
      <w:i/>
    </w:rPr>
  </w:style>
  <w:style w:type="character" w:styleId="22">
    <w:name w:val="Hyperlink"/>
    <w:basedOn w:val="18"/>
    <w:semiHidden/>
    <w:unhideWhenUsed/>
    <w:qFormat/>
    <w:uiPriority w:val="99"/>
    <w:rPr>
      <w:color w:val="333333"/>
      <w:u w:val="none"/>
    </w:rPr>
  </w:style>
  <w:style w:type="character" w:styleId="23">
    <w:name w:val="HTML Code"/>
    <w:basedOn w:val="18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24">
    <w:name w:val="HTML Keyboard"/>
    <w:basedOn w:val="18"/>
    <w:semiHidden/>
    <w:unhideWhenUsed/>
    <w:qFormat/>
    <w:uiPriority w:val="99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25">
    <w:name w:val="HTML Sample"/>
    <w:basedOn w:val="18"/>
    <w:semiHidden/>
    <w:unhideWhenUsed/>
    <w:qFormat/>
    <w:uiPriority w:val="99"/>
    <w:rPr>
      <w:rFonts w:ascii="Monaco" w:hAnsi="Monaco" w:eastAsia="Monaco" w:cs="Monaco"/>
      <w:sz w:val="21"/>
      <w:szCs w:val="21"/>
    </w:rPr>
  </w:style>
  <w:style w:type="paragraph" w:customStyle="1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页脚 Char"/>
    <w:basedOn w:val="18"/>
    <w:link w:val="8"/>
    <w:qFormat/>
    <w:uiPriority w:val="99"/>
    <w:rPr>
      <w:kern w:val="2"/>
      <w:sz w:val="18"/>
      <w:szCs w:val="22"/>
    </w:rPr>
  </w:style>
  <w:style w:type="character" w:customStyle="1" w:styleId="28">
    <w:name w:val="bsharetext"/>
    <w:basedOn w:val="18"/>
    <w:qFormat/>
    <w:uiPriority w:val="0"/>
  </w:style>
  <w:style w:type="paragraph" w:customStyle="1" w:styleId="29">
    <w:name w:val="Table Paragraph"/>
    <w:basedOn w:val="1"/>
    <w:qFormat/>
    <w:uiPriority w:val="1"/>
    <w:pPr>
      <w:ind w:left="37"/>
    </w:pPr>
    <w:rPr>
      <w:rFonts w:ascii="Noto Sans CJK JP Regular" w:hAnsi="Noto Sans CJK JP Regular" w:eastAsia="Noto Sans CJK JP Regular" w:cs="Noto Sans CJK JP Regular"/>
      <w:lang w:val="zh-CN" w:eastAsia="zh-CN" w:bidi="zh-CN"/>
    </w:rPr>
  </w:style>
  <w:style w:type="paragraph" w:customStyle="1" w:styleId="30">
    <w:name w:val="_Style 3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styleId="3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32">
    <w:name w:val="TOC 标题2"/>
    <w:basedOn w:val="2"/>
    <w:next w:val="1"/>
    <w:semiHidden/>
    <w:unhideWhenUsed/>
    <w:qFormat/>
    <w:uiPriority w:val="39"/>
    <w:pPr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3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owl-numbers"/>
    <w:basedOn w:val="18"/>
    <w:qFormat/>
    <w:uiPriority w:val="0"/>
    <w:rPr>
      <w:color w:val="FFFFFF"/>
      <w:sz w:val="18"/>
      <w:szCs w:val="18"/>
    </w:rPr>
  </w:style>
  <w:style w:type="character" w:customStyle="1" w:styleId="35">
    <w:name w:val="msg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15</Pages>
  <Words>5204</Words>
  <Characters>5951</Characters>
  <Lines>1</Lines>
  <Paragraphs>1</Paragraphs>
  <TotalTime>0</TotalTime>
  <ScaleCrop>false</ScaleCrop>
  <LinksUpToDate>false</LinksUpToDate>
  <CharactersWithSpaces>6080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飞飞</cp:lastModifiedBy>
  <cp:lastPrinted>2020-01-08T08:05:00Z</cp:lastPrinted>
  <dcterms:modified xsi:type="dcterms:W3CDTF">2020-05-12T03:33:32Z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